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附件1</w:t>
      </w:r>
    </w:p>
    <w:p>
      <w:pPr>
        <w:pStyle w:val="style0"/>
        <w:spacing w:lineRule="auto" w:line="720"/>
        <w:jc w:val="center"/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商丘市第一中学2024年招聘高层次人才岗位表</w:t>
      </w:r>
    </w:p>
    <w:tbl>
      <w:tblPr>
        <w:tblStyle w:val="style105"/>
        <w:tblW w:w="8810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30"/>
        <w:gridCol w:w="790"/>
        <w:gridCol w:w="3470"/>
        <w:gridCol w:w="2800"/>
      </w:tblGrid>
      <w:tr>
        <w:trPr>
          <w:trHeight w:val="60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</w:t>
            </w: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其他条件要求</w:t>
            </w:r>
          </w:p>
        </w:tc>
      </w:tr>
      <w:tr>
        <w:tblPrEx/>
        <w:trPr>
          <w:trHeight w:val="2547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初中语文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具有中小学高级教师职称人员本科专业：汉语言文学（050101）、中国语言与文化（050108T）；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硕士专业：学科教学（语文）、中国古代文学、中国现当代文学。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1.普通高等教育硕士研究生学历，年龄35周岁以下（1989年1月1日后出生）；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2.具有中小学高级教师以上职称的，学历可以放宽至全日制本科，年龄40周岁以下（1984年1月1日后出生）；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_GB2312" w:cs="仿宋_GB2312" w:eastAsia="仿宋_GB2312" w:hAnsi="仿宋_GB2312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.具有相应学段教师资格证且专业与所学专业和报考岗位一致，持有相应高层次教师资格证人员可申报本层次或低层次相应学科。</w:t>
            </w:r>
          </w:p>
        </w:tc>
      </w:tr>
      <w:tr>
        <w:tblPrEx/>
        <w:trPr>
          <w:trHeight w:val="2267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初中数学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具有中小学高级教师职称人员本科专业：数学与应用数学（070101）、数理基础科学（070103T）、数据计算及应用（070104T）；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硕士专业：学科教学（数学）、基础数学、计算数学、应用数学。</w:t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211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初中英语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具有中小学高级教师职称人员本科专业：英语（050201）、商务英语（050262）；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硕士专业：学科教学（英语）、英语语言文学、英语笔译、英语口译。</w:t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/>
        <w:trPr>
          <w:trHeight w:val="2569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初中道德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与法治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具有中小学高级教师职称人员本科专业：政治学与行政学（030201）、政治学.经济学与哲学（030205T）、思想政治教育（030503）；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硕士专业：政治经济学、政治学、政治学理论、思想政治教育、学科教学（思政）。</w:t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/>
        <w:trPr>
          <w:trHeight w:val="221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初中历史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具有中小学高级教师职称人员本科专业：历史学（060101）、世界史（060102）；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硕士专业：学科教学（历史）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1.普通高等教育硕士研究生学历，年龄35周岁以下（1989年1月1日后出生）；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2.具有中小学高级教师以上职称的，学历可以放宽至全日制本科，年龄40周岁以下（1984年1月1日后出生）；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.具有相应学段教师资格证且专业与所学专业和报考岗位一致，持有相应高层次教师资格证人员可申报本层次或低层次相应学科。</w:t>
            </w:r>
          </w:p>
        </w:tc>
      </w:tr>
      <w:tr>
        <w:tblPrEx/>
        <w:trPr>
          <w:trHeight w:val="2420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初中生物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具有中小学高级教师职称人员本科专业：生物科学（071001）、生物技术（071002）、生物信息学（071003）；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硕士专业：学科教学（生物）、生物学。</w:t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/>
        <w:trPr>
          <w:trHeight w:val="270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default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初中心理健康教育</w:t>
            </w:r>
            <w:bookmarkStart w:id="0" w:name="_GoBack"/>
            <w:bookmarkEnd w:id="0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具有中小学高级教师职称人员本科专业：心理学（071101）、应用心理学（071102）；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硕士专业：心理学、心理健康教育、基础心理学、应用心理学、发展与教育心理学。</w:t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8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2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Times New Roman" w:eastAsia="宋体" w:hAnsi="Cambria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845</Words>
  <Pages>2</Pages>
  <Characters>959</Characters>
  <Application>WPS Office</Application>
  <DocSecurity>0</DocSecurity>
  <Paragraphs>71</Paragraphs>
  <ScaleCrop>false</ScaleCrop>
  <LinksUpToDate>false</LinksUpToDate>
  <CharactersWithSpaces>959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2024-08-23T04:32:00Z</dcterms:created>
  <dc:creator>布言</dc:creator>
  <lastModifiedBy>PJE110</lastModifiedBy>
  <dcterms:modified xsi:type="dcterms:W3CDTF">2024-08-27T03:45:24Z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5F1F6D365F2C4AC69CEA993787F4C9CE_11</vt:lpwstr>
  </property>
</Properties>
</file>